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ind w:left="720" w:right="-591" w:hanging="0"/>
        <w:rPr/>
      </w:pPr>
      <w:r>
        <w:rPr/>
        <w:drawing>
          <wp:anchor behindDoc="0" distT="0" distB="0" distL="114300" distR="114300" simplePos="0" locked="0" layoutInCell="1" allowOverlap="1" relativeHeight="0">
            <wp:simplePos x="0" y="0"/>
            <wp:positionH relativeFrom="column">
              <wp:posOffset>3307080</wp:posOffset>
            </wp:positionH>
            <wp:positionV relativeFrom="paragraph">
              <wp:posOffset>33655</wp:posOffset>
            </wp:positionV>
            <wp:extent cx="3209925" cy="227393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209925" cy="2273935"/>
                    </a:xfrm>
                    <a:prstGeom prst="rect">
                      <a:avLst/>
                    </a:prstGeom>
                    <a:noFill/>
                    <a:ln w="9525">
                      <a:noFill/>
                      <a:miter lim="800000"/>
                      <a:headEnd/>
                      <a:tailEnd/>
                    </a:ln>
                  </pic:spPr>
                </pic:pic>
              </a:graphicData>
            </a:graphic>
          </wp:anchor>
        </w:drawing>
      </w:r>
    </w:p>
    <w:p>
      <w:pPr>
        <w:pStyle w:val="NoSpacing"/>
        <w:ind w:left="0" w:right="-591" w:hanging="0"/>
        <w:rPr>
          <w:sz w:val="24"/>
          <w:szCs w:val="24"/>
        </w:rPr>
      </w:pPr>
      <w:r>
        <w:rPr>
          <w:sz w:val="24"/>
          <w:szCs w:val="24"/>
        </w:rPr>
        <w:t>This summer the Institute of Civil Funerals celebrates its 10</w:t>
      </w:r>
      <w:r>
        <w:rPr>
          <w:sz w:val="24"/>
          <w:szCs w:val="24"/>
          <w:vertAlign w:val="superscript"/>
        </w:rPr>
        <w:t>th</w:t>
      </w:r>
      <w:r>
        <w:rPr>
          <w:sz w:val="24"/>
          <w:szCs w:val="24"/>
        </w:rPr>
        <w:t xml:space="preserve"> Anniversary.  It was founded with three main aims: </w:t>
      </w:r>
    </w:p>
    <w:p>
      <w:pPr>
        <w:pStyle w:val="NoSpacing"/>
        <w:ind w:left="0" w:right="-591" w:hanging="0"/>
        <w:rPr>
          <w:rFonts w:cs="Microsoft New Tai Lue"/>
          <w:sz w:val="24"/>
          <w:szCs w:val="24"/>
        </w:rPr>
      </w:pPr>
      <w:r>
        <w:rPr>
          <w:rFonts w:cs="Microsoft New Tai Lue"/>
          <w:sz w:val="24"/>
          <w:szCs w:val="24"/>
        </w:rPr>
      </w:r>
    </w:p>
    <w:p>
      <w:pPr>
        <w:pStyle w:val="NoSpacing"/>
        <w:numPr>
          <w:ilvl w:val="0"/>
          <w:numId w:val="1"/>
        </w:numPr>
        <w:ind w:left="360" w:right="-591" w:hanging="360"/>
        <w:rPr>
          <w:sz w:val="24"/>
          <w:szCs w:val="24"/>
        </w:rPr>
      </w:pPr>
      <w:r>
        <w:rPr>
          <w:sz w:val="24"/>
          <w:szCs w:val="24"/>
        </w:rPr>
        <w:t xml:space="preserve">to uphold quality and high standards in every funeral service delivered by its members </w:t>
      </w:r>
    </w:p>
    <w:p>
      <w:pPr>
        <w:pStyle w:val="NoSpacing"/>
        <w:numPr>
          <w:ilvl w:val="0"/>
          <w:numId w:val="1"/>
        </w:numPr>
        <w:ind w:left="360" w:right="-591" w:hanging="360"/>
        <w:rPr>
          <w:sz w:val="24"/>
          <w:szCs w:val="24"/>
        </w:rPr>
      </w:pPr>
      <w:r>
        <w:rPr>
          <w:sz w:val="24"/>
          <w:szCs w:val="24"/>
        </w:rPr>
        <w:t>to provide support and professional development for those members</w:t>
      </w:r>
    </w:p>
    <w:p>
      <w:pPr>
        <w:pStyle w:val="NoSpacing"/>
        <w:numPr>
          <w:ilvl w:val="0"/>
          <w:numId w:val="1"/>
        </w:numPr>
        <w:ind w:left="360" w:right="-591" w:hanging="360"/>
        <w:rPr>
          <w:sz w:val="24"/>
          <w:szCs w:val="24"/>
        </w:rPr>
      </w:pPr>
      <w:r>
        <w:rPr>
          <w:sz w:val="24"/>
          <w:szCs w:val="24"/>
        </w:rPr>
        <w:t>to promote civil funeral ceremonies throughout the funeral profession and with the public</w:t>
      </w:r>
    </w:p>
    <w:p>
      <w:pPr>
        <w:pStyle w:val="NoSpacing"/>
        <w:ind w:left="0" w:right="-591" w:hanging="0"/>
        <w:jc w:val="both"/>
        <w:rPr/>
      </w:pPr>
      <w:r>
        <w:rPr/>
      </w:r>
    </w:p>
    <w:p>
      <w:pPr>
        <w:pStyle w:val="NoSpacing"/>
        <w:ind w:left="0" w:right="-591" w:hanging="0"/>
        <w:jc w:val="both"/>
        <w:rPr/>
      </w:pPr>
      <w:r>
        <w:rPr/>
        <w:t xml:space="preserve">The IoCF is unique in being the </w:t>
      </w:r>
      <w:r>
        <w:rPr>
          <w:b/>
        </w:rPr>
        <w:t>only</w:t>
      </w:r>
      <w:r>
        <w:rPr/>
        <w:t xml:space="preserve"> professional association for funeral celebrants which invites feedback for every funeral service directly from the family involved, providing reassurance for funeral directors and their clients that it takes responsibility for its members and can guarantee the quality of their funerals.  Through assessment, support, shared knowledge and experience the Institute and its members have ensured that the premises on which the IoCF was founded have not only been upheld but enabled it to establish a position of respect within the funeral profession. </w:t>
      </w:r>
    </w:p>
    <w:p>
      <w:pPr>
        <w:pStyle w:val="NoSpacing"/>
        <w:ind w:left="0" w:right="-591" w:hanging="0"/>
        <w:jc w:val="both"/>
        <w:rPr/>
      </w:pPr>
      <w:r>
        <w:rPr/>
      </w:r>
    </w:p>
    <w:p>
      <w:pPr>
        <w:pStyle w:val="NoSpacing"/>
        <w:ind w:left="0" w:right="-591" w:hanging="0"/>
        <w:jc w:val="center"/>
        <w:rPr/>
      </w:pPr>
      <w:r>
        <w:rPr/>
        <w:drawing>
          <wp:inline distT="0" distB="0" distL="0" distR="0">
            <wp:extent cx="5410200" cy="204787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Spacing"/>
        <w:ind w:left="0" w:right="-591" w:hanging="0"/>
        <w:jc w:val="both"/>
        <w:rPr/>
      </w:pPr>
      <w:r>
        <w:rPr/>
      </w:r>
    </w:p>
    <w:p>
      <w:pPr>
        <w:pStyle w:val="NoSpacing"/>
        <w:ind w:left="0" w:right="-591" w:hanging="0"/>
        <w:jc w:val="center"/>
        <w:rPr>
          <w:i/>
        </w:rPr>
      </w:pPr>
      <w:r>
        <w:rPr>
          <w:i/>
        </w:rPr>
        <w:t>The year on year figure at the start of 2014 alone showed a 20% increase in funeral ceremony</w:t>
      </w:r>
    </w:p>
    <w:p>
      <w:pPr>
        <w:pStyle w:val="NoSpacing"/>
        <w:ind w:left="0" w:right="-591" w:hanging="0"/>
        <w:jc w:val="center"/>
        <w:rPr>
          <w:i/>
        </w:rPr>
      </w:pPr>
      <w:r>
        <w:rPr>
          <w:i/>
        </w:rPr>
        <w:t>bookings taken by Institute members compared with the same time in 2013.</w:t>
      </w:r>
    </w:p>
    <w:p>
      <w:pPr>
        <w:pStyle w:val="NoSpacing"/>
        <w:ind w:left="0" w:right="-591" w:hanging="0"/>
        <w:jc w:val="both"/>
        <w:rPr>
          <w:b/>
          <w:i/>
        </w:rPr>
      </w:pPr>
      <w:r>
        <w:rPr>
          <w:b/>
          <w:i/>
        </w:rPr>
      </w:r>
    </w:p>
    <w:p>
      <w:pPr>
        <w:pStyle w:val="NoSpacing"/>
        <w:ind w:left="0" w:right="-591" w:hanging="0"/>
        <w:jc w:val="both"/>
        <w:rPr/>
      </w:pPr>
      <w:r>
        <w:rPr/>
        <w:t>It is a summer of celebration for the Institute culminating in its annual conference in November.  Professional development workshops combined with promotions to the trade/the public through the national/local press will acknowledge all that IoCF members have achieved over the past 10 years; IoCF celebrants are very well equipped to provide the unique, personal and high quality service that everyone who arranges a civil funeral can rightfully expect, for the next 10 years and beyond. The ceremony which truly is...</w:t>
      </w:r>
    </w:p>
    <w:p>
      <w:pPr>
        <w:pStyle w:val="NoSpacing"/>
        <w:ind w:left="0" w:right="-591" w:hanging="0"/>
        <w:jc w:val="both"/>
        <w:rPr/>
      </w:pPr>
      <w:r>
        <w:rPr/>
      </w:r>
    </w:p>
    <w:p>
      <w:pPr>
        <w:pStyle w:val="NoSpacing"/>
        <w:ind w:left="0" w:right="-591" w:hanging="0"/>
        <w:jc w:val="center"/>
        <w:rPr>
          <w:rFonts w:cs="Segoe UI"/>
          <w:i/>
        </w:rPr>
      </w:pPr>
      <w:r>
        <w:rPr>
          <w:rFonts w:cs="Segoe UI"/>
          <w:i/>
        </w:rPr>
        <w:t xml:space="preserve">‘… </w:t>
      </w:r>
      <w:r>
        <w:rPr>
          <w:rFonts w:cs="Segoe UI"/>
          <w:i/>
        </w:rPr>
        <w:t>driven by the wishes, beliefs and values of the deceased and their family,</w:t>
      </w:r>
    </w:p>
    <w:p>
      <w:pPr>
        <w:pStyle w:val="NoSpacing"/>
        <w:ind w:left="0" w:right="-591" w:hanging="0"/>
        <w:jc w:val="center"/>
        <w:rPr>
          <w:rFonts w:cs="Segoe UI"/>
          <w:i/>
        </w:rPr>
      </w:pPr>
      <w:r>
        <w:rPr>
          <w:rFonts w:cs="Segoe UI"/>
          <w:i/>
        </w:rPr>
        <w:t>not by the beliefs or ideology of the person conducting the funeral.’</w:t>
      </w:r>
    </w:p>
    <w:p>
      <w:pPr>
        <w:pStyle w:val="NoSpacing"/>
        <w:ind w:left="0" w:right="-591" w:hanging="0"/>
        <w:jc w:val="both"/>
        <w:rPr/>
      </w:pPr>
      <w:r>
        <w:rPr/>
      </w:r>
    </w:p>
    <w:p>
      <w:pPr>
        <w:pStyle w:val="NoSpacing"/>
        <w:ind w:left="0" w:right="-591" w:hanging="0"/>
        <w:jc w:val="both"/>
        <w:rPr/>
      </w:pPr>
      <w:r>
        <w:rPr/>
        <w:t xml:space="preserve">For more information on the Institute of Civil Funerals, or to find out more about the IoCF celebrants in your area, please visit </w:t>
      </w:r>
      <w:r>
        <w:rPr>
          <w:b/>
        </w:rPr>
        <w:t>www.iocf.org.uk</w:t>
      </w:r>
      <w:r>
        <w:rPr/>
        <w:t>... read all about our celebrations in the trade journals...  Your local celebrant was part of it!</w:t>
      </w:r>
    </w:p>
    <w:p>
      <w:pPr>
        <w:pStyle w:val="NoSpacing"/>
        <w:ind w:left="0" w:right="-591" w:hanging="0"/>
        <w:jc w:val="both"/>
        <w:rPr/>
      </w:pPr>
      <w:r>
        <w:rPr/>
      </w:r>
    </w:p>
    <w:p>
      <w:pPr>
        <w:pStyle w:val="NoSpacing"/>
        <w:ind w:left="0" w:right="-591" w:hanging="0"/>
        <w:jc w:val="both"/>
        <w:rPr/>
      </w:pPr>
      <w:r>
        <w:rPr/>
        <w:t>I look forward to working with you (again) very soon.</w:t>
      </w:r>
    </w:p>
    <w:p>
      <w:pPr>
        <w:pStyle w:val="NoSpacing"/>
        <w:ind w:left="0" w:right="-591" w:hanging="0"/>
        <w:jc w:val="both"/>
        <w:rPr/>
      </w:pPr>
      <w:r>
        <w:rPr/>
        <w:t>Yours sincerely,</w:t>
      </w:r>
    </w:p>
    <w:p>
      <w:pPr>
        <w:pStyle w:val="NoSpacing"/>
        <w:ind w:left="0" w:right="-591" w:hanging="0"/>
        <w:jc w:val="both"/>
        <w:rPr/>
      </w:pPr>
      <w:bookmarkStart w:id="0" w:name="_GoBack"/>
      <w:bookmarkStart w:id="1" w:name="_GoBack"/>
      <w:bookmarkEnd w:id="1"/>
      <w:r>
        <w:rPr/>
      </w:r>
    </w:p>
    <w:p>
      <w:pPr>
        <w:pStyle w:val="NoSpacing"/>
        <w:ind w:left="0" w:right="-591" w:hanging="0"/>
        <w:jc w:val="both"/>
        <w:rPr>
          <w:b/>
          <w:i/>
        </w:rPr>
      </w:pPr>
      <w:r>
        <w:rPr>
          <w:i/>
          <w:highlight w:val="lightGray"/>
        </w:rPr>
        <w:t>NAME  M.I.C.F and PERSONAL CONTACT DETAILS</w:t>
      </w:r>
      <w:r>
        <w:rPr>
          <w:b/>
          <w:i/>
        </w:rPr>
        <w:t xml:space="preserve">    </w:t>
        <w:tab/>
        <w:tab/>
        <w:tab/>
      </w:r>
      <w:r>
        <w:rPr>
          <w:rFonts w:ascii="Bradley Hand ITC" w:hAnsi="Bradley Hand ITC"/>
          <w:b/>
          <w:i/>
          <w:sz w:val="36"/>
          <w:szCs w:val="36"/>
          <w:highlight w:val="lightGray"/>
        </w:rPr>
        <w:t>Signature</w:t>
      </w:r>
      <w:r>
        <w:rPr>
          <w:rFonts w:ascii="Bradley Hand ITC" w:hAnsi="Bradley Hand ITC"/>
          <w:b/>
          <w:i/>
          <w:sz w:val="36"/>
          <w:szCs w:val="36"/>
        </w:rPr>
        <w:t xml:space="preserve"> </w:t>
      </w:r>
      <w:r>
        <w:rPr>
          <w:b/>
          <w:i/>
        </w:rPr>
        <w:t xml:space="preserve">                                                                            </w:t>
      </w:r>
    </w:p>
    <w:sectPr>
      <w:headerReference w:type="default" r:id="rId4"/>
      <w:footerReference w:type="default" r:id="rId5"/>
      <w:type w:val="nextPage"/>
      <w:pgSz w:w="11906" w:h="16838"/>
      <w:pgMar w:left="851" w:right="1440" w:header="0" w:top="568"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 w:name="Bradley Hand ITC">
    <w:charset w:val="01"/>
    <w:family w:val="swiss"/>
    <w:pitch w:val="default"/>
  </w:font>
  <w:font w:name="Arial Narrow">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00000A"/>
        <w:left w:val="nil"/>
        <w:bottom w:val="nil"/>
        <w:right w:val="nil"/>
      </w:pBdr>
      <w:jc w:val="center"/>
      <w:rPr>
        <w:rFonts w:ascii="Arial Narrow" w:hAnsi="Arial Narrow"/>
        <w:sz w:val="20"/>
      </w:rPr>
    </w:pPr>
    <w:r>
      <w:rPr>
        <w:rFonts w:ascii="Arial Narrow" w:hAnsi="Arial Narrow"/>
        <w:sz w:val="20"/>
      </w:rPr>
      <w:t>Institute of Civil Funerals Ltd, 6, Nene Road, Bicton Industrial Park, Kimbolton, Cambs. PE28 0LF</w:t>
    </w:r>
  </w:p>
  <w:p>
    <w:pPr>
      <w:pStyle w:val="Footer"/>
      <w:jc w:val="center"/>
      <w:rPr>
        <w:rFonts w:ascii="Arial Narrow" w:hAnsi="Arial Narrow"/>
        <w:sz w:val="20"/>
        <w:szCs w:val="20"/>
      </w:rPr>
    </w:pPr>
    <w:r>
      <w:rPr>
        <w:rFonts w:ascii="Arial Narrow" w:hAnsi="Arial Narrow"/>
        <w:sz w:val="20"/>
      </w:rPr>
      <w:t xml:space="preserve">Tel: 01480 861411 ~ Email: </w:t>
    </w:r>
    <w:hyperlink r:id="rId1">
      <w:r>
        <w:rPr>
          <w:rStyle w:val="InternetLink"/>
          <w:rFonts w:ascii="Arial Narrow" w:hAnsi="Arial Narrow"/>
          <w:sz w:val="20"/>
        </w:rPr>
        <w:t>info@iocf.org.uk</w:t>
      </w:r>
    </w:hyperlink>
    <w:r>
      <w:rPr>
        <w:rFonts w:ascii="Arial Narrow" w:hAnsi="Arial Narrow"/>
        <w:sz w:val="20"/>
      </w:rPr>
      <w:t xml:space="preserve"> ~ </w:t>
    </w:r>
    <w:r>
      <w:rPr>
        <w:rFonts w:ascii="Arial Narrow" w:hAnsi="Arial Narrow"/>
        <w:sz w:val="20"/>
        <w:szCs w:val="20"/>
      </w:rPr>
      <w:t>www.iocf.org.uk</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9.35pt;margin-top:271.7pt;width:461.8pt;height:197.9pt;rotation:315;mso-position-horizontal:center;mso-position-vertical:center;mso-position-vertical-relative:margin" type="shapetype_136">
          <v:path textpathok="t"/>
          <v:textpath on="t" fitshape="t" string="SAMPLE" style="font-family:&quot;Calibri&quot;"/>
          <v:wrap v:type="none"/>
          <v:fill type="solid" color2="#3f3f3f" detectmouseclick="t"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
        <w:sz w:val="22"/>
        <w:szCs w:val="22"/>
        <w:lang w:val="en-GB" w:eastAsia="en-GB"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auto"/>
      <w:sz w:val="22"/>
      <w:szCs w:val="22"/>
      <w:lang w:val="en-GB" w:eastAsia="en-GB"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44006c"/>
    <w:basedOn w:val="DefaultParagraphFont"/>
    <w:rPr>
      <w:rFonts w:ascii="Tahoma" w:hAnsi="Tahoma" w:cs="Tahoma"/>
      <w:sz w:val="16"/>
      <w:szCs w:val="16"/>
    </w:rPr>
  </w:style>
  <w:style w:type="character" w:styleId="InternetLink">
    <w:name w:val="Internet Link"/>
    <w:uiPriority w:val="99"/>
    <w:unhideWhenUsed/>
    <w:rsid w:val="003f4417"/>
    <w:basedOn w:val="DefaultParagraphFont"/>
    <w:rPr>
      <w:color w:val="0000FF"/>
      <w:u w:val="single"/>
      <w:lang w:val="zxx" w:eastAsia="zxx" w:bidi="zxx"/>
    </w:rPr>
  </w:style>
  <w:style w:type="character" w:styleId="HeaderChar" w:customStyle="1">
    <w:name w:val="Header Char"/>
    <w:uiPriority w:val="99"/>
    <w:link w:val="Header"/>
    <w:rsid w:val="003f4417"/>
    <w:basedOn w:val="DefaultParagraphFont"/>
    <w:rPr/>
  </w:style>
  <w:style w:type="character" w:styleId="FooterChar" w:customStyle="1">
    <w:name w:val="Footer Char"/>
    <w:uiPriority w:val="99"/>
    <w:link w:val="Footer"/>
    <w:rsid w:val="003f4417"/>
    <w:basedOn w:val="DefaultParagraphFont"/>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Verdana" w:hAnsi="Verdana" w:eastAsia="Microsoft YaHei" w:cs="Mangal"/>
      <w:sz w:val="22"/>
      <w:szCs w:val="28"/>
    </w:rPr>
  </w:style>
  <w:style w:type="paragraph" w:styleId="TextBody">
    <w:name w:val="Text Body"/>
    <w:basedOn w:val="Normal"/>
    <w:pPr>
      <w:spacing w:lineRule="auto" w:line="288" w:before="0" w:after="140"/>
    </w:pPr>
    <w:rPr/>
  </w:style>
  <w:style w:type="paragraph" w:styleId="List">
    <w:name w:val="List"/>
    <w:basedOn w:val="TextBody"/>
    <w:pPr/>
    <w:rPr>
      <w:rFonts w:ascii="Verdana" w:hAnsi="Verdana" w:cs="Mangal"/>
      <w:sz w:val="24"/>
    </w:rPr>
  </w:style>
  <w:style w:type="paragraph" w:styleId="Caption">
    <w:name w:val="Caption"/>
    <w:basedOn w:val="Normal"/>
    <w:pPr>
      <w:suppressLineNumbers/>
      <w:spacing w:before="120" w:after="120"/>
    </w:pPr>
    <w:rPr>
      <w:rFonts w:ascii="Verdana" w:hAnsi="Verdana" w:cs="Mangal"/>
      <w:i/>
      <w:iCs/>
      <w:sz w:val="24"/>
      <w:szCs w:val="24"/>
    </w:rPr>
  </w:style>
  <w:style w:type="paragraph" w:styleId="Index">
    <w:name w:val="Index"/>
    <w:basedOn w:val="Normal"/>
    <w:pPr>
      <w:suppressLineNumbers/>
    </w:pPr>
    <w:rPr>
      <w:rFonts w:ascii="Verdana" w:hAnsi="Verdana" w:cs="Mangal"/>
      <w:sz w:val="24"/>
    </w:rPr>
  </w:style>
  <w:style w:type="paragraph" w:styleId="NoSpacing">
    <w:name w:val="No Spacing"/>
    <w:uiPriority w:val="1"/>
    <w:qFormat/>
    <w:rsid w:val="0044006c"/>
    <w:pPr>
      <w:widowControl/>
      <w:suppressAutoHyphens w:val="true"/>
      <w:bidi w:val="0"/>
      <w:spacing w:lineRule="auto" w:line="240" w:before="0" w:after="0"/>
      <w:jc w:val="left"/>
    </w:pPr>
    <w:rPr>
      <w:rFonts w:ascii="Calibri" w:hAnsi="Calibri" w:eastAsia="SimSun" w:cs=""/>
      <w:color w:val="auto"/>
      <w:sz w:val="22"/>
      <w:szCs w:val="22"/>
      <w:lang w:val="en-GB" w:eastAsia="en-GB" w:bidi="ar-SA"/>
    </w:rPr>
  </w:style>
  <w:style w:type="paragraph" w:styleId="BalloonText">
    <w:name w:val="Balloon Text"/>
    <w:uiPriority w:val="99"/>
    <w:semiHidden/>
    <w:unhideWhenUsed/>
    <w:link w:val="BalloonTextChar"/>
    <w:rsid w:val="0044006c"/>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3f4417"/>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3f4417"/>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chart" Target="charts/chart1.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info@iocf.org.uk"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sz="1400">
                <a:solidFill>
                  <a:srgbClr val="e46c0a"/>
                </a:solidFill>
                <a:latin typeface="Calibri"/>
              </a:rPr>
              <a:t>Funerals per year</a:t>
            </a:r>
          </a:p>
        </c:rich>
      </c:tx>
      <c:layout/>
    </c:title>
    <c:plotArea>
      <c:layout/>
      <c:lineChart>
        <c:grouping val="standard"/>
        <c:ser>
          <c:idx val="0"/>
          <c:order val="0"/>
          <c:tx>
            <c:strRef>
              <c:f>label 0</c:f>
              <c:strCache>
                <c:ptCount val="1"/>
                <c:pt idx="0">
                  <c:v/>
                </c:pt>
              </c:strCache>
            </c:strRef>
          </c:tx>
          <c:spPr>
            <a:solidFill>
              <a:srgbClr val="f59240"/>
            </a:solidFill>
            <a:ln w="28440">
              <a:solidFill>
                <a:srgbClr val="f59240"/>
              </a:solidFill>
              <a:round/>
            </a:ln>
          </c:spPr>
          <c:marker>
            <c:size val="7"/>
          </c:marker>
          <c:dLbls>
            <c:showLegendKey val="0"/>
            <c:showVal val="0"/>
            <c:showCatName val="0"/>
            <c:showSerName val="0"/>
            <c:showPercent val="0"/>
          </c:dLbls>
          <c:cat>
            <c:strRef>
              <c:f>categories</c:f>
              <c:strCache>
                <c:ptCount val="13"/>
                <c:pt idx="0">
                  <c:v>1</c:v>
                </c:pt>
                <c:pt idx="1">
                  <c:v>2</c:v>
                </c:pt>
                <c:pt idx="2">
                  <c:v>3</c:v>
                </c:pt>
                <c:pt idx="3">
                  <c:v>4</c:v>
                </c:pt>
                <c:pt idx="4">
                  <c:v>5</c:v>
                </c:pt>
                <c:pt idx="5">
                  <c:v>6</c:v>
                </c:pt>
                <c:pt idx="6">
                  <c:v>7</c:v>
                </c:pt>
                <c:pt idx="7">
                  <c:v>8</c:v>
                </c:pt>
                <c:pt idx="8">
                  <c:v>9</c:v>
                </c:pt>
                <c:pt idx="9">
                  <c:v>10</c:v>
                </c:pt>
                <c:pt idx="10">
                  <c:v>11</c:v>
                </c:pt>
                <c:pt idx="11">
                  <c:v>12</c:v>
                </c:pt>
                <c:pt idx="12">
                  <c:v>13</c:v>
                </c:pt>
              </c:strCache>
            </c:strRef>
          </c:cat>
          <c:val>
            <c:numRef>
              <c:f>0</c:f>
              <c:numCache>
                <c:formatCode>General</c:formatCode>
                <c:ptCount val="13"/>
                <c:pt idx="0">
                  <c:v>1</c:v>
                </c:pt>
                <c:pt idx="1">
                  <c:v>10</c:v>
                </c:pt>
                <c:pt idx="2">
                  <c:v>54</c:v>
                </c:pt>
                <c:pt idx="3">
                  <c:v>118</c:v>
                </c:pt>
                <c:pt idx="4">
                  <c:v>334</c:v>
                </c:pt>
                <c:pt idx="5">
                  <c:v>923</c:v>
                </c:pt>
                <c:pt idx="6">
                  <c:v>1864</c:v>
                </c:pt>
                <c:pt idx="7">
                  <c:v>2932</c:v>
                </c:pt>
                <c:pt idx="8">
                  <c:v>3708</c:v>
                </c:pt>
                <c:pt idx="9">
                  <c:v>3960</c:v>
                </c:pt>
                <c:pt idx="10">
                  <c:v>4558</c:v>
                </c:pt>
                <c:pt idx="11">
                  <c:v>4591</c:v>
                </c:pt>
                <c:pt idx="12">
                  <c:v>6434</c:v>
                </c:pt>
              </c:numCache>
            </c:numRef>
          </c:val>
        </c:ser>
        <c:ser>
          <c:idx val="1"/>
          <c:order val="1"/>
          <c:spPr>
            <a:solidFill>
              <a:srgbClr val="f59240"/>
            </a:solidFill>
            <a:ln w="28440">
              <a:solidFill>
                <a:srgbClr val="f59240"/>
              </a:solidFill>
              <a:round/>
            </a:ln>
          </c:spPr>
          <c:marker>
            <c:size val="7"/>
          </c:marker>
          <c:dLbls>
            <c:showLegendKey val="0"/>
            <c:showVal val="0"/>
            <c:showCatName val="0"/>
            <c:showSerName val="0"/>
            <c:showPercent val="0"/>
          </c:dLbls>
          <c:cat>
            <c:strRef>
              <c:f>categories</c:f>
              <c:strCache>
                <c:ptCount val="13"/>
                <c:pt idx="0">
                  <c:v>1</c:v>
                </c:pt>
                <c:pt idx="1">
                  <c:v>2</c:v>
                </c:pt>
                <c:pt idx="2">
                  <c:v>3</c:v>
                </c:pt>
                <c:pt idx="3">
                  <c:v>4</c:v>
                </c:pt>
                <c:pt idx="4">
                  <c:v>5</c:v>
                </c:pt>
                <c:pt idx="5">
                  <c:v>6</c:v>
                </c:pt>
                <c:pt idx="6">
                  <c:v>7</c:v>
                </c:pt>
                <c:pt idx="7">
                  <c:v>8</c:v>
                </c:pt>
                <c:pt idx="8">
                  <c:v>9</c:v>
                </c:pt>
                <c:pt idx="9">
                  <c:v>10</c:v>
                </c:pt>
                <c:pt idx="10">
                  <c:v>11</c:v>
                </c:pt>
                <c:pt idx="11">
                  <c:v>12</c:v>
                </c:pt>
                <c:pt idx="12">
                  <c:v>13</c:v>
                </c:pt>
              </c:strCache>
            </c:strRef>
          </c:cat>
        </c:ser>
        <c:marker val="1"/>
        <c:axId val="23486"/>
        <c:axId val="8302"/>
      </c:lineChart>
      <c:catAx>
        <c:axId val="23486"/>
        <c:scaling>
          <c:orientation val="minMax"/>
        </c:scaling>
        <c:delete val="0"/>
        <c:axPos val="b"/>
        <c:majorTickMark val="none"/>
        <c:minorTickMark val="none"/>
        <c:tickLblPos val="nextTo"/>
        <c:spPr>
          <a:ln w="9360">
            <a:solidFill>
              <a:srgbClr val="878787"/>
            </a:solidFill>
            <a:round/>
          </a:ln>
        </c:spPr>
        <c:crossAx val="8302"/>
        <c:crossesAt val="0"/>
        <c:auto val="1"/>
        <c:lblAlgn val="ctr"/>
        <c:lblOffset val="100"/>
      </c:catAx>
      <c:valAx>
        <c:axId val="8302"/>
        <c:scaling>
          <c:orientation val="minMax"/>
        </c:scaling>
        <c:delete val="0"/>
        <c:axPos val="l"/>
        <c:majorGridlines>
          <c:spPr>
            <a:ln w="9360">
              <a:solidFill>
                <a:srgbClr val="878787"/>
              </a:solidFill>
              <a:round/>
            </a:ln>
          </c:spPr>
        </c:majorGridlines>
        <c:majorTickMark val="none"/>
        <c:minorTickMark val="none"/>
        <c:tickLblPos val="nextTo"/>
        <c:spPr>
          <a:ln w="9360">
            <a:solidFill>
              <a:srgbClr val="878787"/>
            </a:solidFill>
            <a:round/>
          </a:ln>
        </c:spPr>
        <c:crossAx val="23486"/>
        <c:crossesAt val="0"/>
      </c:valAx>
      <c:spPr>
        <a:solidFill>
          <a:srgbClr val="ffffff"/>
        </a:solidFill>
        <a:ln>
          <a:noFill/>
        </a:ln>
      </c:spPr>
    </c:plotArea>
    <c:plotVisOnly val="1"/>
  </c:chart>
  <c:spPr>
    <a:no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EA39-680B-4803-B2C6-0A0EC01F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2014-07-13T14:25:00Z</dcterms:created>
  <dc:creator>User</dc:creator>
  <dc:language>en-GB</dc:language>
  <cp:lastModifiedBy>Sarah Willis</cp:lastModifiedBy>
  <cp:lastPrinted>2014-07-13T14:50:00Z</cp:lastPrinted>
  <dcterms:modified xsi:type="dcterms:W3CDTF">2014-07-16T09:44:00Z</dcterms:modified>
  <cp:revision>12</cp:revision>
</cp:coreProperties>
</file>